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Style w:val="9"/>
          <w:b/>
          <w:sz w:val="30"/>
        </w:rPr>
      </w:pPr>
      <w:bookmarkStart w:id="0" w:name="_GoBack"/>
      <w:bookmarkEnd w:id="0"/>
    </w:p>
    <w:p>
      <w:pPr>
        <w:autoSpaceDE w:val="0"/>
        <w:autoSpaceDN w:val="0"/>
        <w:adjustRightInd w:val="0"/>
        <w:snapToGrid w:val="0"/>
        <w:spacing w:line="360" w:lineRule="auto"/>
        <w:jc w:val="center"/>
        <w:rPr>
          <w:rStyle w:val="9"/>
          <w:rFonts w:hint="default" w:ascii="方正小标宋_GBK" w:hAnsi="方正小标宋_GBK" w:eastAsia="方正小标宋_GBK" w:cs="方正小标宋_GBK"/>
          <w:bCs/>
          <w:szCs w:val="32"/>
        </w:rPr>
      </w:pPr>
      <w:r>
        <w:rPr>
          <w:rStyle w:val="9"/>
          <w:rFonts w:hint="default" w:ascii="方正小标宋_GBK" w:hAnsi="方正小标宋_GBK" w:eastAsia="方正小标宋_GBK" w:cs="方正小标宋_GBK"/>
          <w:bCs/>
          <w:szCs w:val="32"/>
        </w:rPr>
        <w:t>信息科学与技术学院优秀本科生推免攻读研究生办法细则</w:t>
      </w:r>
    </w:p>
    <w:p>
      <w:pPr>
        <w:autoSpaceDE w:val="0"/>
        <w:autoSpaceDN w:val="0"/>
        <w:adjustRightInd w:val="0"/>
        <w:snapToGrid w:val="0"/>
        <w:spacing w:line="360" w:lineRule="auto"/>
        <w:jc w:val="center"/>
        <w:rPr>
          <w:rStyle w:val="9"/>
          <w:rFonts w:hint="default" w:ascii="方正仿宋_GB2312" w:hAnsi="方正仿宋_GB2312" w:eastAsia="方正仿宋_GB2312" w:cs="方正仿宋_GB2312"/>
          <w:bCs/>
          <w:sz w:val="28"/>
          <w:szCs w:val="28"/>
        </w:rPr>
      </w:pPr>
      <w:r>
        <w:rPr>
          <w:rStyle w:val="9"/>
          <w:rFonts w:hint="default" w:ascii="方正仿宋_GB2312" w:hAnsi="方正仿宋_GB2312" w:eastAsia="方正仿宋_GB2312" w:cs="方正仿宋_GB2312"/>
          <w:bCs/>
          <w:sz w:val="28"/>
          <w:szCs w:val="28"/>
        </w:rPr>
        <w:t>（202</w:t>
      </w:r>
      <w:r>
        <w:rPr>
          <w:rStyle w:val="9"/>
          <w:rFonts w:hint="eastAsia" w:ascii="方正仿宋_GB2312" w:hAnsi="方正仿宋_GB2312" w:eastAsia="方正仿宋_GB2312" w:cs="方正仿宋_GB2312"/>
          <w:bCs/>
          <w:sz w:val="28"/>
          <w:szCs w:val="28"/>
          <w:lang w:val="en-US" w:eastAsia="zh-CN"/>
        </w:rPr>
        <w:t>2</w:t>
      </w:r>
      <w:r>
        <w:rPr>
          <w:rStyle w:val="9"/>
          <w:rFonts w:hint="default" w:ascii="方正仿宋_GB2312" w:hAnsi="方正仿宋_GB2312" w:eastAsia="方正仿宋_GB2312" w:cs="方正仿宋_GB2312"/>
          <w:bCs/>
          <w:sz w:val="28"/>
          <w:szCs w:val="28"/>
        </w:rPr>
        <w:t>年修订）</w:t>
      </w:r>
    </w:p>
    <w:p>
      <w:pPr>
        <w:autoSpaceDE w:val="0"/>
        <w:autoSpaceDN w:val="0"/>
        <w:adjustRightInd w:val="0"/>
        <w:snapToGrid w:val="0"/>
        <w:spacing w:line="500" w:lineRule="exact"/>
        <w:ind w:firstLine="480" w:firstLineChars="200"/>
        <w:rPr>
          <w:rStyle w:val="9"/>
          <w:rFonts w:hint="default" w:ascii="宋体" w:hAnsi="宋体" w:eastAsia="宋体"/>
          <w:sz w:val="24"/>
        </w:rPr>
      </w:pPr>
      <w:r>
        <w:rPr>
          <w:rFonts w:hint="eastAsia" w:ascii="宋体" w:hAnsi="宋体"/>
          <w:sz w:val="24"/>
        </w:rPr>
        <w:t>信息科学与技术学院优秀本科生毕业生免试攻读研究生推荐资格评定依据申请人在校期间的学习成绩、综合能力和创新能力积分进行排名，占比分别为75%、15%和10%。学习成绩、综合能力和创新能力</w:t>
      </w:r>
      <w:r>
        <w:rPr>
          <w:rStyle w:val="9"/>
          <w:rFonts w:hint="default" w:ascii="宋体" w:hAnsi="宋体" w:eastAsia="宋体" w:cs="Times New Roman"/>
          <w:color w:val="auto"/>
          <w:sz w:val="24"/>
        </w:rPr>
        <w:t>三个</w:t>
      </w:r>
      <w:r>
        <w:rPr>
          <w:rStyle w:val="9"/>
          <w:rFonts w:hint="default" w:ascii="宋体" w:hAnsi="宋体" w:eastAsia="宋体"/>
          <w:color w:val="auto"/>
          <w:sz w:val="24"/>
        </w:rPr>
        <w:t>方面以</w:t>
      </w:r>
      <w:r>
        <w:rPr>
          <w:rFonts w:hint="eastAsia" w:ascii="宋体" w:hAnsi="宋体"/>
          <w:sz w:val="24"/>
        </w:rPr>
        <w:t>当年申报推免学生中的</w:t>
      </w:r>
      <w:r>
        <w:rPr>
          <w:rStyle w:val="9"/>
          <w:rFonts w:hint="default" w:ascii="宋体" w:hAnsi="宋体" w:eastAsia="宋体"/>
          <w:color w:val="auto"/>
          <w:sz w:val="24"/>
        </w:rPr>
        <w:t>最高分者为100分。设最高分为M，具体得分为N，按公式：</w:t>
      </w:r>
      <w:r>
        <w:rPr>
          <w:rFonts w:ascii="宋体" w:hAnsi="宋体"/>
          <w:b/>
          <w:bCs/>
          <w:sz w:val="24"/>
          <w:szCs w:val="22"/>
        </w:rPr>
        <w:t>某项分值=（N/M）</w:t>
      </w:r>
      <w:r>
        <w:rPr>
          <w:rFonts w:hint="eastAsia" w:ascii="宋体" w:hAnsi="宋体"/>
          <w:b/>
          <w:bCs/>
          <w:sz w:val="24"/>
          <w:szCs w:val="22"/>
        </w:rPr>
        <w:t>×</w:t>
      </w:r>
      <w:r>
        <w:rPr>
          <w:rFonts w:ascii="宋体" w:hAnsi="宋体"/>
          <w:b/>
          <w:bCs/>
          <w:sz w:val="24"/>
          <w:szCs w:val="22"/>
        </w:rPr>
        <w:t>100</w:t>
      </w:r>
      <w:r>
        <w:rPr>
          <w:rFonts w:ascii="宋体" w:hAnsi="宋体"/>
          <w:sz w:val="24"/>
          <w:szCs w:val="22"/>
        </w:rPr>
        <w:t>，</w:t>
      </w:r>
      <w:r>
        <w:rPr>
          <w:rStyle w:val="9"/>
          <w:rFonts w:hint="default" w:ascii="宋体" w:hAnsi="宋体"/>
          <w:sz w:val="24"/>
        </w:rPr>
        <w:t xml:space="preserve"> </w:t>
      </w:r>
      <w:r>
        <w:rPr>
          <w:rStyle w:val="9"/>
          <w:rFonts w:hint="default" w:ascii="宋体" w:hAnsi="宋体" w:eastAsia="宋体"/>
          <w:sz w:val="24"/>
        </w:rPr>
        <w:t>每个学生的总分值按公式计算总分：学习</w:t>
      </w:r>
      <w:r>
        <w:rPr>
          <w:rStyle w:val="9"/>
          <w:rFonts w:hint="default" w:ascii="宋体" w:hAnsi="宋体" w:eastAsia="宋体" w:cs="Times New Roman"/>
          <w:sz w:val="24"/>
        </w:rPr>
        <w:t>成绩</w:t>
      </w:r>
      <w:r>
        <w:rPr>
          <w:rStyle w:val="9"/>
          <w:rFonts w:hint="default" w:ascii="宋体" w:hAnsi="宋体" w:eastAsia="宋体"/>
          <w:sz w:val="24"/>
        </w:rPr>
        <w:t>分值×0.75+综合能力分值×0.15+创新能力分值×0.1。在同等</w:t>
      </w:r>
      <w:r>
        <w:rPr>
          <w:rStyle w:val="9"/>
          <w:rFonts w:hint="default" w:ascii="宋体" w:hAnsi="宋体" w:eastAsia="宋体" w:cs="Times New Roman"/>
          <w:sz w:val="24"/>
        </w:rPr>
        <w:t>总分情况</w:t>
      </w:r>
      <w:r>
        <w:rPr>
          <w:rStyle w:val="9"/>
          <w:rFonts w:hint="default" w:ascii="宋体" w:hAnsi="宋体" w:eastAsia="宋体"/>
          <w:sz w:val="24"/>
        </w:rPr>
        <w:t>下，如果学生已获得“211”或“985”高校预录取通知书（承诺书）优先考虑。</w:t>
      </w:r>
    </w:p>
    <w:p>
      <w:pPr>
        <w:spacing w:line="500" w:lineRule="exact"/>
        <w:ind w:firstLine="482" w:firstLineChars="200"/>
        <w:jc w:val="left"/>
        <w:rPr>
          <w:rFonts w:ascii="宋体" w:hAnsi="宋体"/>
          <w:b/>
          <w:sz w:val="24"/>
        </w:rPr>
      </w:pPr>
      <w:r>
        <w:rPr>
          <w:rFonts w:hint="eastAsia" w:ascii="宋体" w:hAnsi="宋体"/>
          <w:b/>
          <w:sz w:val="24"/>
        </w:rPr>
        <w:t>一、学习成绩（占比75%）</w:t>
      </w:r>
    </w:p>
    <w:p>
      <w:pPr>
        <w:widowControl/>
        <w:spacing w:line="500" w:lineRule="exact"/>
        <w:ind w:firstLine="480" w:firstLineChars="200"/>
        <w:jc w:val="left"/>
        <w:rPr>
          <w:rFonts w:ascii="宋体" w:hAnsi="宋体"/>
          <w:sz w:val="24"/>
        </w:rPr>
      </w:pPr>
      <w:r>
        <w:rPr>
          <w:rFonts w:hint="eastAsia" w:ascii="宋体" w:hAnsi="宋体"/>
          <w:sz w:val="24"/>
        </w:rPr>
        <w:t>1.</w:t>
      </w:r>
      <w:r>
        <w:rPr>
          <w:rFonts w:ascii="宋体" w:hAnsi="宋体"/>
          <w:sz w:val="24"/>
        </w:rPr>
        <w:t>学习成绩依据</w:t>
      </w:r>
      <w:r>
        <w:rPr>
          <w:rFonts w:hint="eastAsia" w:ascii="宋体" w:hAnsi="宋体"/>
          <w:sz w:val="24"/>
          <w:lang w:val="en-US" w:eastAsia="zh-CN"/>
        </w:rPr>
        <w:t>教务科统一提供的</w:t>
      </w:r>
      <w:r>
        <w:rPr>
          <w:rFonts w:ascii="宋体" w:hAnsi="宋体"/>
          <w:sz w:val="24"/>
        </w:rPr>
        <w:t>前三年平均学分绩点计算，换算成百分制后计分</w:t>
      </w:r>
      <w:r>
        <w:rPr>
          <w:rFonts w:hint="eastAsia" w:ascii="宋体" w:hAnsi="宋体" w:cstheme="minorBidi"/>
          <w:b w:val="0"/>
          <w:bCs/>
          <w:kern w:val="2"/>
          <w:sz w:val="24"/>
          <w:szCs w:val="20"/>
          <w:lang w:val="en-US" w:eastAsia="zh-CN" w:bidi="ar"/>
        </w:rPr>
        <w:t>。</w:t>
      </w:r>
    </w:p>
    <w:p>
      <w:pPr>
        <w:spacing w:line="500" w:lineRule="exact"/>
        <w:ind w:firstLine="480" w:firstLineChars="200"/>
        <w:rPr>
          <w:rFonts w:ascii="宋体" w:hAnsi="宋体"/>
          <w:sz w:val="24"/>
        </w:rPr>
      </w:pPr>
      <w:r>
        <w:rPr>
          <w:rFonts w:hint="eastAsia" w:ascii="宋体" w:hAnsi="宋体"/>
          <w:sz w:val="24"/>
        </w:rPr>
        <w:t>2.</w:t>
      </w:r>
      <w:r>
        <w:rPr>
          <w:rFonts w:ascii="宋体" w:hAnsi="宋体"/>
          <w:sz w:val="24"/>
        </w:rPr>
        <w:t>学习成绩得分=学习成绩分值×</w:t>
      </w:r>
      <w:r>
        <w:rPr>
          <w:rFonts w:hint="eastAsia" w:ascii="宋体" w:hAnsi="宋体"/>
          <w:sz w:val="24"/>
        </w:rPr>
        <w:t>0.75</w:t>
      </w:r>
      <w:r>
        <w:rPr>
          <w:rFonts w:ascii="宋体" w:hAnsi="宋体"/>
          <w:sz w:val="24"/>
        </w:rPr>
        <w:t>。</w:t>
      </w:r>
    </w:p>
    <w:p>
      <w:pPr>
        <w:spacing w:line="500" w:lineRule="exact"/>
        <w:ind w:firstLine="480" w:firstLineChars="200"/>
        <w:rPr>
          <w:rFonts w:ascii="宋体" w:hAnsi="宋体"/>
          <w:sz w:val="24"/>
        </w:rPr>
      </w:pPr>
      <w:r>
        <w:rPr>
          <w:rFonts w:hint="eastAsia" w:ascii="宋体" w:hAnsi="宋体"/>
          <w:sz w:val="24"/>
        </w:rPr>
        <w:t>3.</w:t>
      </w:r>
      <w:r>
        <w:rPr>
          <w:rFonts w:ascii="宋体" w:hAnsi="宋体"/>
          <w:sz w:val="24"/>
        </w:rPr>
        <w:t>学习成绩得分最高不超过7</w:t>
      </w:r>
      <w:r>
        <w:rPr>
          <w:rFonts w:hint="eastAsia" w:ascii="宋体" w:hAnsi="宋体"/>
          <w:sz w:val="24"/>
        </w:rPr>
        <w:t>5</w:t>
      </w:r>
      <w:r>
        <w:rPr>
          <w:rFonts w:ascii="宋体" w:hAnsi="宋体"/>
          <w:sz w:val="24"/>
        </w:rPr>
        <w:t>分。</w:t>
      </w:r>
    </w:p>
    <w:p>
      <w:pPr>
        <w:numPr>
          <w:ilvl w:val="0"/>
          <w:numId w:val="1"/>
        </w:numPr>
        <w:tabs>
          <w:tab w:val="left" w:pos="544"/>
        </w:tabs>
        <w:spacing w:line="500" w:lineRule="exact"/>
        <w:ind w:firstLine="482" w:firstLineChars="200"/>
        <w:rPr>
          <w:rFonts w:ascii="宋体" w:hAnsi="宋体"/>
          <w:b/>
          <w:sz w:val="24"/>
        </w:rPr>
      </w:pPr>
      <w:r>
        <w:rPr>
          <w:rFonts w:hint="eastAsia" w:ascii="宋体" w:hAnsi="宋体"/>
          <w:b/>
          <w:sz w:val="24"/>
        </w:rPr>
        <w:t>综合能力（占比15%）</w:t>
      </w:r>
    </w:p>
    <w:tbl>
      <w:tblPr>
        <w:tblStyle w:val="5"/>
        <w:tblpPr w:leftFromText="180" w:rightFromText="180" w:vertAnchor="text" w:horzAnchor="page" w:tblpX="1952" w:tblpY="221"/>
        <w:tblOverlap w:val="never"/>
        <w:tblW w:w="8462" w:type="dxa"/>
        <w:tblInd w:w="0" w:type="dxa"/>
        <w:tblLayout w:type="fixed"/>
        <w:tblCellMar>
          <w:top w:w="0" w:type="dxa"/>
          <w:left w:w="108" w:type="dxa"/>
          <w:bottom w:w="0" w:type="dxa"/>
          <w:right w:w="108" w:type="dxa"/>
        </w:tblCellMar>
      </w:tblPr>
      <w:tblGrid>
        <w:gridCol w:w="3555"/>
        <w:gridCol w:w="947"/>
        <w:gridCol w:w="990"/>
        <w:gridCol w:w="1005"/>
        <w:gridCol w:w="960"/>
        <w:gridCol w:w="1005"/>
      </w:tblGrid>
      <w:tr>
        <w:tblPrEx>
          <w:tblCellMar>
            <w:top w:w="0" w:type="dxa"/>
            <w:left w:w="108" w:type="dxa"/>
            <w:bottom w:w="0" w:type="dxa"/>
            <w:right w:w="108" w:type="dxa"/>
          </w:tblCellMar>
        </w:tblPrEx>
        <w:trPr>
          <w:trHeight w:val="1344"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5100" to="30000">
                    <wpsCustomData:border w:val="single" w:color="000000" w:sz="4" w:space="0"/>
                  </wpsCustomData:diagonal>
                  <wpsCustomData:diagonal from="5800" to="30000">
                    <wpsCustomData:border w:val="single" w:color="000000" w:sz="4" w:space="0"/>
                  </wpsCustomData:diagonal>
                </wpsCustomData:diagonals>
              </mc:Choice>
            </mc:AlternateContent>
          </w:tcPr>
          <w:p>
            <w:pPr>
              <w:jc w:val="both"/>
              <w:rPr>
                <w:rFonts w:ascii="宋体" w:hAnsi="宋体" w:cs="宋体"/>
                <w:b w:val="0"/>
                <w:bCs w:val="0"/>
                <w:sz w:val="24"/>
                <w:szCs w:val="24"/>
              </w:rPr>
            </w:pPr>
          </w:p>
          <w:p>
            <w:pPr>
              <w:snapToGrid w:val="0"/>
              <w:spacing w:line="240" w:lineRule="auto"/>
              <w:jc w:val="center"/>
              <mc:AlternateContent>
                <mc:Choice Requires="wpsCustomData">
                  <wpsCustomData:diagonalParaType/>
                </mc:Choice>
              </mc:AlternateContent>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奖项</w:t>
            </w:r>
          </w:p>
          <w:p>
            <w:pPr>
              <w:snapToGrid w:val="0"/>
              <w:spacing w:line="240" w:lineRule="auto"/>
              <w:jc w:val="center"/>
              <w:rPr>
                <w:rFonts w:hint="eastAsia" w:ascii="宋体" w:hAnsi="宋体" w:cs="宋体"/>
                <w:b w:val="0"/>
                <w:bCs w:val="0"/>
                <w:sz w:val="24"/>
                <w:szCs w:val="24"/>
                <w:lang w:eastAsia="zh-CN"/>
              </w:rPr>
            </w:pPr>
          </w:p>
          <w:p>
            <w:pPr>
              <w:snapToGrid w:val="0"/>
              <w:spacing w:line="240" w:lineRule="auto"/>
              <w:ind w:firstLine="480" w:firstLineChars="200"/>
              <w:jc w:val="both"/>
              <mc:AlternateContent>
                <mc:Choice Requires="wpsCustomData">
                  <wpsCustomData:diagonalParaType/>
                </mc:Choice>
              </mc:AlternateContent>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加分分值</w:t>
            </w:r>
          </w:p>
          <w:p>
            <w:pPr>
              <w:jc w:val="center"/>
              <w:rPr>
                <w:rFonts w:hint="eastAsia" w:ascii="宋体" w:hAnsi="宋体" w:cs="宋体"/>
                <w:b w:val="0"/>
                <w:bCs w:val="0"/>
                <w:sz w:val="24"/>
                <w:szCs w:val="24"/>
                <w:lang w:eastAsia="zh-CN"/>
              </w:rPr>
            </w:pPr>
          </w:p>
          <w:p>
            <w:pPr>
              <w:jc w:val="center"/>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级别</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国家级</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省级</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市级</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校级</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院级</w:t>
            </w:r>
          </w:p>
        </w:tc>
      </w:tr>
      <w:tr>
        <w:tblPrEx>
          <w:tblCellMar>
            <w:top w:w="0" w:type="dxa"/>
            <w:left w:w="108" w:type="dxa"/>
            <w:bottom w:w="0" w:type="dxa"/>
            <w:right w:w="108" w:type="dxa"/>
          </w:tblCellMar>
        </w:tblPrEx>
        <w:trPr>
          <w:trHeight w:val="799"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大学生“年度人物”、十佳大学生、优秀党员、“三好学生”等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r>
      <w:tr>
        <w:tblPrEx>
          <w:tblCellMar>
            <w:top w:w="0" w:type="dxa"/>
            <w:left w:w="108" w:type="dxa"/>
            <w:bottom w:w="0" w:type="dxa"/>
            <w:right w:w="108" w:type="dxa"/>
          </w:tblCellMar>
        </w:tblPrEx>
        <w:trPr>
          <w:trHeight w:val="834"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优秀团干部、优秀学生干部</w:t>
            </w:r>
            <w:r>
              <w:rPr>
                <w:rFonts w:hint="eastAsia" w:ascii="宋体" w:hAnsi="宋体" w:cs="宋体"/>
                <w:kern w:val="0"/>
                <w:sz w:val="24"/>
                <w:szCs w:val="24"/>
                <w:lang w:eastAsia="zh-CN" w:bidi="ar"/>
              </w:rPr>
              <w:t>、</w:t>
            </w:r>
            <w:r>
              <w:rPr>
                <w:rFonts w:hint="eastAsia" w:ascii="宋体" w:hAnsi="宋体" w:cs="宋体"/>
                <w:kern w:val="0"/>
                <w:sz w:val="24"/>
                <w:szCs w:val="24"/>
                <w:lang w:val="en-US" w:eastAsia="zh-CN" w:bidi="ar"/>
              </w:rPr>
              <w:t>十佳志愿者</w:t>
            </w:r>
            <w:r>
              <w:rPr>
                <w:rFonts w:hint="eastAsia" w:ascii="宋体" w:hAnsi="宋体" w:cs="宋体"/>
                <w:kern w:val="0"/>
                <w:sz w:val="24"/>
                <w:szCs w:val="24"/>
                <w:lang w:bidi="ar"/>
              </w:rPr>
              <w:t>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r>
      <w:tr>
        <w:tblPrEx>
          <w:tblCellMar>
            <w:top w:w="0" w:type="dxa"/>
            <w:left w:w="108" w:type="dxa"/>
            <w:bottom w:w="0" w:type="dxa"/>
            <w:right w:w="108" w:type="dxa"/>
          </w:tblCellMar>
        </w:tblPrEx>
        <w:trPr>
          <w:trHeight w:val="834" w:hRule="atLeast"/>
        </w:trPr>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参军入伍服兵役、参加校院组织的国际组织实习等</w:t>
            </w:r>
          </w:p>
        </w:tc>
        <w:tc>
          <w:tcPr>
            <w:tcW w:w="49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w:t>
            </w:r>
          </w:p>
        </w:tc>
      </w:tr>
    </w:tbl>
    <w:p>
      <w:pPr>
        <w:widowControl/>
        <w:spacing w:line="360" w:lineRule="auto"/>
        <w:ind w:firstLine="480" w:firstLineChars="200"/>
        <w:jc w:val="left"/>
        <w:rPr>
          <w:rFonts w:ascii="宋体" w:hAnsi="宋体"/>
          <w:sz w:val="24"/>
        </w:rPr>
      </w:pPr>
      <w:r>
        <w:rPr>
          <w:rFonts w:hint="eastAsia" w:ascii="宋体" w:hAnsi="宋体"/>
          <w:sz w:val="24"/>
        </w:rPr>
        <w:t>1.以上荣誉应是以我院或我校作为推荐单位报送评选所获，其他未经我院或我校组织评选或推荐的荣誉不予计分</w:t>
      </w:r>
      <w:r>
        <w:rPr>
          <w:rFonts w:hint="eastAsia" w:ascii="宋体" w:hAnsi="宋体" w:eastAsia="宋体" w:cstheme="minorBidi"/>
          <w:b w:val="0"/>
          <w:bCs w:val="0"/>
          <w:kern w:val="2"/>
          <w:sz w:val="24"/>
          <w:szCs w:val="20"/>
          <w:lang w:val="en-US" w:eastAsia="zh-CN" w:bidi="ar"/>
        </w:rPr>
        <w:t>。</w:t>
      </w:r>
    </w:p>
    <w:p>
      <w:pPr>
        <w:spacing w:line="500" w:lineRule="exact"/>
        <w:ind w:firstLine="480" w:firstLineChars="200"/>
        <w:rPr>
          <w:rFonts w:ascii="宋体" w:hAnsi="宋体"/>
          <w:sz w:val="24"/>
        </w:rPr>
      </w:pPr>
      <w:r>
        <w:rPr>
          <w:rFonts w:hint="eastAsia" w:ascii="宋体" w:hAnsi="宋体"/>
          <w:sz w:val="24"/>
        </w:rPr>
        <w:t>2.</w:t>
      </w:r>
      <w:r>
        <w:rPr>
          <w:rFonts w:hint="eastAsia" w:ascii="宋体" w:hAnsi="宋体"/>
          <w:color w:val="000000"/>
          <w:sz w:val="24"/>
          <w:lang w:bidi="ar"/>
        </w:rPr>
        <w:t>同年度同一项荣誉以最高级加分，不重复加分</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3.综合能力得分=综合能力分值×0.15。</w:t>
      </w:r>
    </w:p>
    <w:p>
      <w:pPr>
        <w:spacing w:line="500" w:lineRule="exact"/>
        <w:ind w:firstLine="480" w:firstLineChars="200"/>
        <w:rPr>
          <w:rFonts w:ascii="宋体" w:hAnsi="宋体"/>
          <w:sz w:val="24"/>
        </w:rPr>
      </w:pPr>
      <w:r>
        <w:rPr>
          <w:rFonts w:hint="eastAsia" w:ascii="宋体" w:hAnsi="宋体"/>
          <w:sz w:val="24"/>
        </w:rPr>
        <w:t>4.综合能力得分最高不超过15分。</w:t>
      </w:r>
    </w:p>
    <w:p>
      <w:pPr>
        <w:numPr>
          <w:ilvl w:val="0"/>
          <w:numId w:val="1"/>
        </w:numPr>
        <w:tabs>
          <w:tab w:val="left" w:pos="544"/>
        </w:tabs>
        <w:spacing w:line="500" w:lineRule="exact"/>
        <w:ind w:firstLine="482" w:firstLineChars="200"/>
        <w:rPr>
          <w:rFonts w:ascii="宋体" w:hAnsi="宋体"/>
          <w:b/>
          <w:sz w:val="24"/>
        </w:rPr>
      </w:pPr>
      <w:r>
        <w:rPr>
          <w:rFonts w:hint="eastAsia" w:ascii="宋体" w:hAnsi="宋体"/>
          <w:b/>
          <w:sz w:val="24"/>
        </w:rPr>
        <w:t>创新能力（占比10%）</w:t>
      </w:r>
    </w:p>
    <w:p>
      <w:pPr>
        <w:spacing w:line="500" w:lineRule="exact"/>
        <w:ind w:firstLine="560"/>
        <w:rPr>
          <w:rFonts w:ascii="宋体" w:hAnsi="宋体"/>
          <w:sz w:val="24"/>
        </w:rPr>
      </w:pPr>
      <w:r>
        <w:rPr>
          <w:rFonts w:hint="eastAsia" w:ascii="宋体" w:hAnsi="宋体"/>
          <w:sz w:val="24"/>
        </w:rPr>
        <w:t>创新能力加分分值依据学科竞赛、科研成果、科研课题立项三方面计算，换算成百分制后计分。</w:t>
      </w:r>
    </w:p>
    <w:p>
      <w:pPr>
        <w:spacing w:line="500" w:lineRule="exact"/>
        <w:ind w:firstLine="480" w:firstLineChars="200"/>
        <w:rPr>
          <w:rFonts w:ascii="宋体" w:hAnsi="宋体"/>
          <w:sz w:val="24"/>
        </w:rPr>
      </w:pPr>
      <w:r>
        <w:rPr>
          <w:rFonts w:hint="eastAsia" w:ascii="宋体" w:hAnsi="宋体"/>
          <w:sz w:val="24"/>
        </w:rPr>
        <w:t>1.创新能力得分=创新能力分值×0.1。</w:t>
      </w:r>
    </w:p>
    <w:p>
      <w:pPr>
        <w:spacing w:line="500" w:lineRule="exact"/>
        <w:ind w:firstLine="480" w:firstLineChars="200"/>
        <w:rPr>
          <w:rFonts w:ascii="宋体" w:hAnsi="宋体"/>
          <w:sz w:val="24"/>
        </w:rPr>
      </w:pPr>
      <w:r>
        <w:rPr>
          <w:rFonts w:hint="eastAsia" w:ascii="宋体" w:hAnsi="宋体"/>
          <w:sz w:val="24"/>
        </w:rPr>
        <w:t>2.创新能力得分最高不超过10分。</w:t>
      </w:r>
    </w:p>
    <w:p>
      <w:pPr>
        <w:numPr>
          <w:ilvl w:val="255"/>
          <w:numId w:val="0"/>
        </w:numPr>
        <w:spacing w:line="500" w:lineRule="exact"/>
        <w:ind w:firstLine="480" w:firstLineChars="200"/>
        <w:rPr>
          <w:rFonts w:ascii="宋体" w:hAnsi="宋体"/>
          <w:sz w:val="24"/>
        </w:rPr>
      </w:pPr>
      <w:r>
        <w:rPr>
          <w:rFonts w:hint="eastAsia" w:ascii="宋体" w:hAnsi="宋体"/>
          <w:sz w:val="24"/>
        </w:rPr>
        <w:t>3.学科竞赛分值计算方法如下：</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ascii="宋体" w:hAnsi="宋体"/>
          <w:color w:val="auto"/>
          <w:sz w:val="24"/>
          <w:szCs w:val="22"/>
        </w:rPr>
      </w:pPr>
      <w:r>
        <w:rPr>
          <w:rFonts w:hint="eastAsia" w:ascii="宋体" w:hAnsi="宋体"/>
          <w:b/>
          <w:bCs/>
          <w:color w:val="auto"/>
          <w:sz w:val="24"/>
          <w:szCs w:val="22"/>
        </w:rPr>
        <w:t>一类竞赛</w:t>
      </w:r>
      <w:r>
        <w:rPr>
          <w:rFonts w:hint="eastAsia" w:ascii="宋体" w:hAnsi="宋体"/>
          <w:color w:val="auto"/>
          <w:sz w:val="24"/>
          <w:szCs w:val="22"/>
        </w:rPr>
        <w:t>：</w:t>
      </w:r>
      <w:r>
        <w:rPr>
          <w:rFonts w:hint="eastAsia" w:ascii="宋体" w:hAnsi="宋体"/>
          <w:color w:val="auto"/>
          <w:sz w:val="24"/>
        </w:rPr>
        <w:t>由本学院老师为第一指导老师的项目，ACM-ICPC</w:t>
      </w:r>
      <w:r>
        <w:rPr>
          <w:rFonts w:hint="eastAsia" w:ascii="宋体" w:hAnsi="宋体"/>
          <w:color w:val="auto"/>
          <w:sz w:val="24"/>
          <w:lang w:eastAsia="zh-CN"/>
        </w:rPr>
        <w:t>、</w:t>
      </w:r>
      <w:r>
        <w:rPr>
          <w:rFonts w:hint="eastAsia" w:ascii="宋体" w:hAnsi="宋体"/>
          <w:color w:val="auto"/>
          <w:sz w:val="24"/>
          <w:lang w:val="en-US" w:eastAsia="zh-CN"/>
        </w:rPr>
        <w:t>“互联网+”大学生创新创业大赛、“挑战杯”大学生课外学术科技作品竞赛、“挑战杯”大学生创业计划竞赛的国家级金奖（一等奖）分值为300，银奖（二等奖）分值为200，铜奖（三等奖）分值为80；其他一类竞赛</w:t>
      </w:r>
      <w:r>
        <w:rPr>
          <w:rFonts w:hint="eastAsia" w:ascii="宋体" w:hAnsi="宋体"/>
          <w:color w:val="auto"/>
          <w:sz w:val="24"/>
          <w:szCs w:val="22"/>
        </w:rPr>
        <w:t>国家级一等奖分值200，二等奖分值为120，三等奖为50；省级一等奖分值为120，省级二等奖分值为80，省级三等分值为40；市级一等奖分值为80，二等奖分值为40，三等奖分值为20；校级一等奖分值为</w:t>
      </w:r>
      <w:r>
        <w:rPr>
          <w:rFonts w:hint="default" w:ascii="宋体" w:hAnsi="宋体"/>
          <w:color w:val="auto"/>
          <w:sz w:val="24"/>
          <w:szCs w:val="22"/>
        </w:rPr>
        <w:t>5</w:t>
      </w:r>
      <w:r>
        <w:rPr>
          <w:rFonts w:hint="eastAsia" w:ascii="宋体" w:hAnsi="宋体"/>
          <w:color w:val="auto"/>
          <w:sz w:val="24"/>
          <w:szCs w:val="22"/>
        </w:rPr>
        <w:t>，同类赛事不累加。</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ascii="宋体" w:hAnsi="宋体"/>
          <w:color w:val="auto"/>
          <w:sz w:val="24"/>
          <w:szCs w:val="22"/>
        </w:rPr>
      </w:pPr>
      <w:r>
        <w:rPr>
          <w:rFonts w:hint="eastAsia" w:ascii="宋体" w:hAnsi="宋体"/>
          <w:b/>
          <w:bCs/>
          <w:color w:val="auto"/>
          <w:sz w:val="24"/>
          <w:szCs w:val="22"/>
        </w:rPr>
        <w:t>二类竞赛</w:t>
      </w:r>
      <w:r>
        <w:rPr>
          <w:rFonts w:hint="eastAsia" w:ascii="宋体" w:hAnsi="宋体"/>
          <w:color w:val="auto"/>
          <w:sz w:val="24"/>
          <w:szCs w:val="22"/>
        </w:rPr>
        <w:t>：由本学院老师为第一指导老师的项目，获国家级一等奖分值为120，二等奖分值为80，三等奖分值为40；省级一等奖分值为80，二等奖分值为40，三等奖分值为20；同类赛事不累加。</w:t>
      </w:r>
    </w:p>
    <w:p>
      <w:pPr>
        <w:autoSpaceDE w:val="0"/>
        <w:autoSpaceDN w:val="0"/>
        <w:adjustRightInd w:val="0"/>
        <w:snapToGrid w:val="0"/>
        <w:spacing w:line="500" w:lineRule="exact"/>
        <w:ind w:firstLine="482" w:firstLineChars="200"/>
        <w:rPr>
          <w:rFonts w:hint="eastAsia" w:ascii="宋体" w:hAnsi="宋体" w:cs="宋体"/>
          <w:color w:val="auto"/>
          <w:sz w:val="24"/>
          <w:szCs w:val="24"/>
          <w:lang w:bidi="ar"/>
        </w:rPr>
      </w:pPr>
      <w:r>
        <w:rPr>
          <w:rFonts w:hint="eastAsia" w:ascii="宋体" w:hAnsi="宋体"/>
          <w:b/>
          <w:bCs/>
          <w:color w:val="auto"/>
          <w:sz w:val="24"/>
          <w:szCs w:val="22"/>
        </w:rPr>
        <w:t>其它竞赛</w:t>
      </w:r>
      <w:r>
        <w:rPr>
          <w:rFonts w:hint="eastAsia" w:ascii="宋体" w:hAnsi="宋体"/>
          <w:color w:val="auto"/>
          <w:sz w:val="24"/>
          <w:szCs w:val="22"/>
        </w:rPr>
        <w:t>：</w:t>
      </w:r>
      <w:r>
        <w:rPr>
          <w:rFonts w:hint="eastAsia" w:ascii="宋体" w:hAnsi="宋体" w:cs="宋体"/>
          <w:color w:val="auto"/>
          <w:sz w:val="24"/>
          <w:szCs w:val="24"/>
          <w:lang w:bidi="ar"/>
        </w:rPr>
        <w:t>由本学院老师为第一指导老师的项目，获国家级一等奖分值为80，二等奖分值为40，三等奖分值为20；省级一等奖分值为50，二等奖分值为20，同类赛事不累加。</w:t>
      </w:r>
    </w:p>
    <w:p>
      <w:pPr>
        <w:autoSpaceDE w:val="0"/>
        <w:autoSpaceDN w:val="0"/>
        <w:adjustRightInd w:val="0"/>
        <w:snapToGrid w:val="0"/>
        <w:spacing w:line="500" w:lineRule="exact"/>
        <w:ind w:firstLine="480" w:firstLineChars="200"/>
        <w:rPr>
          <w:rFonts w:hint="default" w:ascii="宋体" w:hAnsi="宋体" w:cs="宋体"/>
          <w:color w:val="auto"/>
          <w:sz w:val="24"/>
          <w:szCs w:val="24"/>
          <w:lang w:bidi="ar"/>
        </w:rPr>
      </w:pPr>
    </w:p>
    <w:p>
      <w:pPr>
        <w:pStyle w:val="8"/>
        <w:adjustRightInd w:val="0"/>
        <w:snapToGrid w:val="0"/>
        <w:spacing w:line="500" w:lineRule="exact"/>
        <w:ind w:firstLine="0" w:firstLineChars="0"/>
        <w:jc w:val="center"/>
        <w:rPr>
          <w:rStyle w:val="9"/>
          <w:rFonts w:hint="default" w:ascii="Times New Roman" w:hAnsi="Times New Roman" w:eastAsia="宋体"/>
          <w:b/>
          <w:color w:val="auto"/>
          <w:sz w:val="24"/>
          <w:szCs w:val="22"/>
        </w:rPr>
      </w:pPr>
      <w:r>
        <w:rPr>
          <w:rStyle w:val="9"/>
          <w:rFonts w:hint="default" w:ascii="Times New Roman" w:hAnsi="Times New Roman" w:eastAsia="宋体"/>
          <w:b/>
          <w:color w:val="auto"/>
          <w:sz w:val="24"/>
          <w:szCs w:val="22"/>
        </w:rPr>
        <w:t>获奖</w:t>
      </w:r>
      <w:r>
        <w:rPr>
          <w:rStyle w:val="9"/>
          <w:rFonts w:hint="default" w:ascii="Times New Roman" w:hAnsi="Times New Roman" w:eastAsia="宋体"/>
          <w:b/>
          <w:color w:val="auto"/>
          <w:sz w:val="24"/>
        </w:rPr>
        <w:t>排名得分</w:t>
      </w:r>
      <w:r>
        <w:rPr>
          <w:rStyle w:val="9"/>
          <w:rFonts w:hint="default" w:ascii="Times New Roman" w:hAnsi="Times New Roman" w:eastAsia="宋体"/>
          <w:b/>
          <w:color w:val="auto"/>
          <w:sz w:val="24"/>
          <w:szCs w:val="22"/>
        </w:rPr>
        <w:t>计算</w:t>
      </w:r>
      <w:r>
        <w:rPr>
          <w:rStyle w:val="9"/>
          <w:rFonts w:hint="default" w:ascii="Times New Roman" w:hAnsi="Times New Roman" w:eastAsia="宋体"/>
          <w:b/>
          <w:color w:val="auto"/>
          <w:sz w:val="24"/>
        </w:rPr>
        <w:t>比例</w:t>
      </w:r>
      <w:r>
        <w:rPr>
          <w:rStyle w:val="9"/>
          <w:rFonts w:hint="default" w:ascii="Times New Roman" w:hAnsi="Times New Roman" w:eastAsia="宋体"/>
          <w:b/>
          <w:color w:val="auto"/>
          <w:sz w:val="24"/>
          <w:szCs w:val="22"/>
        </w:rPr>
        <w:t>参考标准</w:t>
      </w:r>
    </w:p>
    <w:tbl>
      <w:tblPr>
        <w:tblStyle w:val="5"/>
        <w:tblW w:w="75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1394"/>
        <w:gridCol w:w="665"/>
        <w:gridCol w:w="376"/>
        <w:gridCol w:w="377"/>
        <w:gridCol w:w="377"/>
        <w:gridCol w:w="414"/>
        <w:gridCol w:w="409"/>
        <w:gridCol w:w="376"/>
        <w:gridCol w:w="410"/>
        <w:gridCol w:w="414"/>
        <w:gridCol w:w="376"/>
        <w:gridCol w:w="401"/>
        <w:gridCol w:w="392"/>
        <w:gridCol w:w="401"/>
        <w:gridCol w:w="400"/>
        <w:gridCol w:w="3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7" w:hRule="atLeast"/>
          <w:jc w:val="center"/>
        </w:trPr>
        <w:tc>
          <w:tcPr>
            <w:tcW w:w="139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00" w:lineRule="exact"/>
              <w:rPr>
                <w:rStyle w:val="9"/>
                <w:rFonts w:hint="default"/>
                <w:color w:val="auto"/>
                <w:sz w:val="24"/>
              </w:rPr>
            </w:pPr>
            <w:r>
              <w:rPr>
                <w:rStyle w:val="9"/>
                <w:rFonts w:hint="default"/>
                <w:color w:val="auto"/>
                <w:sz w:val="24"/>
              </w:rPr>
              <w:t>人数</w:t>
            </w: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1</w:t>
            </w:r>
          </w:p>
        </w:tc>
        <w:tc>
          <w:tcPr>
            <w:tcW w:w="753" w:type="dxa"/>
            <w:gridSpan w:val="2"/>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2</w:t>
            </w:r>
          </w:p>
        </w:tc>
        <w:tc>
          <w:tcPr>
            <w:tcW w:w="1200" w:type="dxa"/>
            <w:gridSpan w:val="3"/>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3</w:t>
            </w:r>
          </w:p>
        </w:tc>
        <w:tc>
          <w:tcPr>
            <w:tcW w:w="1576" w:type="dxa"/>
            <w:gridSpan w:val="4"/>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4</w:t>
            </w:r>
          </w:p>
        </w:tc>
        <w:tc>
          <w:tcPr>
            <w:tcW w:w="1976" w:type="dxa"/>
            <w:gridSpan w:val="5"/>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7" w:hRule="atLeast"/>
          <w:jc w:val="center"/>
        </w:trPr>
        <w:tc>
          <w:tcPr>
            <w:tcW w:w="139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00" w:lineRule="exact"/>
              <w:rPr>
                <w:rStyle w:val="9"/>
                <w:rFonts w:hint="default"/>
                <w:color w:val="auto"/>
                <w:sz w:val="24"/>
              </w:rPr>
            </w:pPr>
            <w:r>
              <w:rPr>
                <w:rStyle w:val="9"/>
                <w:rFonts w:hint="default"/>
                <w:color w:val="auto"/>
                <w:sz w:val="24"/>
              </w:rPr>
              <w:t>排序</w:t>
            </w: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1</w:t>
            </w:r>
          </w:p>
        </w:tc>
        <w:tc>
          <w:tcPr>
            <w:tcW w:w="3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1</w:t>
            </w:r>
          </w:p>
        </w:tc>
        <w:tc>
          <w:tcPr>
            <w:tcW w:w="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2</w:t>
            </w:r>
          </w:p>
        </w:tc>
        <w:tc>
          <w:tcPr>
            <w:tcW w:w="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1</w:t>
            </w: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2</w:t>
            </w: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3</w:t>
            </w:r>
          </w:p>
        </w:tc>
        <w:tc>
          <w:tcPr>
            <w:tcW w:w="3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1</w:t>
            </w:r>
          </w:p>
        </w:tc>
        <w:tc>
          <w:tcPr>
            <w:tcW w:w="41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2</w:t>
            </w: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3</w:t>
            </w:r>
          </w:p>
        </w:tc>
        <w:tc>
          <w:tcPr>
            <w:tcW w:w="3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4</w:t>
            </w:r>
          </w:p>
        </w:tc>
        <w:tc>
          <w:tcPr>
            <w:tcW w:w="4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1</w:t>
            </w:r>
          </w:p>
        </w:tc>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2</w:t>
            </w:r>
          </w:p>
        </w:tc>
        <w:tc>
          <w:tcPr>
            <w:tcW w:w="4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3</w:t>
            </w:r>
          </w:p>
        </w:tc>
        <w:tc>
          <w:tcPr>
            <w:tcW w:w="40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4</w:t>
            </w:r>
          </w:p>
        </w:tc>
        <w:tc>
          <w:tcPr>
            <w:tcW w:w="38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0" w:hRule="atLeast"/>
          <w:jc w:val="center"/>
        </w:trPr>
        <w:tc>
          <w:tcPr>
            <w:tcW w:w="1394" w:type="dxa"/>
            <w:tcBorders>
              <w:top w:val="single" w:color="auto" w:sz="4" w:space="0"/>
              <w:left w:val="single" w:color="auto" w:sz="4" w:space="0"/>
              <w:bottom w:val="single" w:color="auto" w:sz="4" w:space="0"/>
              <w:right w:val="single" w:color="auto" w:sz="4" w:space="0"/>
              <w:tl2br w:val="nil"/>
              <w:tr2bl w:val="nil"/>
            </w:tcBorders>
          </w:tcPr>
          <w:p>
            <w:pPr>
              <w:adjustRightInd w:val="0"/>
              <w:snapToGrid w:val="0"/>
              <w:spacing w:line="500" w:lineRule="exact"/>
              <w:rPr>
                <w:rStyle w:val="9"/>
                <w:rFonts w:hint="default"/>
                <w:color w:val="auto"/>
                <w:sz w:val="24"/>
              </w:rPr>
            </w:pPr>
            <w:r>
              <w:rPr>
                <w:rStyle w:val="9"/>
                <w:rFonts w:hint="default"/>
                <w:color w:val="auto"/>
                <w:sz w:val="24"/>
              </w:rPr>
              <w:t>所占比例%</w:t>
            </w:r>
          </w:p>
        </w:tc>
        <w:tc>
          <w:tcPr>
            <w:tcW w:w="66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100</w:t>
            </w:r>
          </w:p>
        </w:tc>
        <w:tc>
          <w:tcPr>
            <w:tcW w:w="3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60</w:t>
            </w:r>
          </w:p>
        </w:tc>
        <w:tc>
          <w:tcPr>
            <w:tcW w:w="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40</w:t>
            </w:r>
          </w:p>
        </w:tc>
        <w:tc>
          <w:tcPr>
            <w:tcW w:w="377"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50</w:t>
            </w: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30</w:t>
            </w:r>
          </w:p>
        </w:tc>
        <w:tc>
          <w:tcPr>
            <w:tcW w:w="4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20</w:t>
            </w:r>
          </w:p>
        </w:tc>
        <w:tc>
          <w:tcPr>
            <w:tcW w:w="3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50</w:t>
            </w:r>
          </w:p>
        </w:tc>
        <w:tc>
          <w:tcPr>
            <w:tcW w:w="41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25</w:t>
            </w:r>
          </w:p>
        </w:tc>
        <w:tc>
          <w:tcPr>
            <w:tcW w:w="41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15</w:t>
            </w:r>
          </w:p>
        </w:tc>
        <w:tc>
          <w:tcPr>
            <w:tcW w:w="37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10</w:t>
            </w:r>
          </w:p>
        </w:tc>
        <w:tc>
          <w:tcPr>
            <w:tcW w:w="4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hint="eastAsia" w:ascii="Times New Roman" w:hAnsi="Times New Roman"/>
                <w:color w:val="auto"/>
                <w:sz w:val="24"/>
              </w:rPr>
              <w:t>3</w:t>
            </w:r>
            <w:r>
              <w:rPr>
                <w:rFonts w:ascii="Times New Roman" w:hAnsi="Times New Roman"/>
                <w:color w:val="auto"/>
                <w:sz w:val="24"/>
              </w:rPr>
              <w:t>0</w:t>
            </w:r>
          </w:p>
        </w:tc>
        <w:tc>
          <w:tcPr>
            <w:tcW w:w="39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ascii="Times New Roman" w:hAnsi="Times New Roman"/>
                <w:color w:val="auto"/>
                <w:sz w:val="24"/>
              </w:rPr>
              <w:t>20</w:t>
            </w:r>
          </w:p>
        </w:tc>
        <w:tc>
          <w:tcPr>
            <w:tcW w:w="40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rPr>
            </w:pPr>
            <w:r>
              <w:rPr>
                <w:rFonts w:hint="eastAsia" w:ascii="Times New Roman" w:hAnsi="Times New Roman"/>
                <w:color w:val="auto"/>
                <w:sz w:val="24"/>
              </w:rPr>
              <w:t>20</w:t>
            </w:r>
          </w:p>
        </w:tc>
        <w:tc>
          <w:tcPr>
            <w:tcW w:w="40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w:t>
            </w:r>
          </w:p>
        </w:tc>
        <w:tc>
          <w:tcPr>
            <w:tcW w:w="38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500" w:lineRule="exact"/>
              <w:jc w:val="center"/>
              <w:rPr>
                <w:rFonts w:ascii="Times New Roman" w:hAnsi="Times New Roman"/>
                <w:color w:val="auto"/>
                <w:sz w:val="24"/>
                <w:szCs w:val="22"/>
              </w:rPr>
            </w:pPr>
            <w:r>
              <w:rPr>
                <w:rFonts w:hint="eastAsia" w:ascii="Times New Roman" w:hAnsi="Times New Roman"/>
                <w:color w:val="auto"/>
                <w:sz w:val="24"/>
                <w:szCs w:val="22"/>
              </w:rPr>
              <w:t>10</w:t>
            </w:r>
          </w:p>
        </w:tc>
      </w:tr>
    </w:tbl>
    <w:p>
      <w:pPr>
        <w:numPr>
          <w:ilvl w:val="255"/>
          <w:numId w:val="0"/>
        </w:numPr>
        <w:spacing w:line="500" w:lineRule="exact"/>
        <w:ind w:firstLine="480" w:firstLineChars="200"/>
        <w:rPr>
          <w:rFonts w:ascii="宋体" w:hAnsi="宋体"/>
          <w:color w:val="auto"/>
          <w:sz w:val="24"/>
          <w:szCs w:val="22"/>
        </w:rPr>
      </w:pPr>
      <w:r>
        <w:rPr>
          <w:rFonts w:hint="eastAsia" w:ascii="宋体" w:hAnsi="宋体" w:cs="宋体"/>
          <w:color w:val="auto"/>
          <w:sz w:val="24"/>
          <w:szCs w:val="24"/>
        </w:rPr>
        <w:t>竞赛以学校最新发布的竞赛分类为依据，同一个项目，只能以最高奖项结算一次</w:t>
      </w:r>
      <w:r>
        <w:rPr>
          <w:rFonts w:ascii="宋体" w:hAnsi="宋体" w:cs="宋体"/>
          <w:color w:val="auto"/>
          <w:sz w:val="24"/>
          <w:szCs w:val="24"/>
        </w:rPr>
        <w:t>。</w:t>
      </w:r>
      <w:r>
        <w:rPr>
          <w:rFonts w:hint="eastAsia" w:ascii="宋体" w:hAnsi="宋体" w:cs="宋体"/>
          <w:color w:val="auto"/>
          <w:sz w:val="24"/>
          <w:szCs w:val="24"/>
        </w:rPr>
        <w:t>排名顺序以带队老师确认为准，</w:t>
      </w:r>
      <w:r>
        <w:rPr>
          <w:rFonts w:ascii="宋体" w:hAnsi="宋体"/>
          <w:color w:val="auto"/>
          <w:sz w:val="24"/>
          <w:szCs w:val="22"/>
        </w:rPr>
        <w:t>以上所占比例为参考标准，</w:t>
      </w:r>
      <w:r>
        <w:rPr>
          <w:rFonts w:hint="eastAsia" w:ascii="宋体" w:hAnsi="宋体" w:cs="宋体"/>
          <w:color w:val="auto"/>
          <w:sz w:val="24"/>
          <w:szCs w:val="24"/>
          <w:lang w:bidi="ar"/>
        </w:rPr>
        <w:t>指导老师可以根据贡献程度</w:t>
      </w:r>
      <w:r>
        <w:rPr>
          <w:rFonts w:ascii="宋体" w:hAnsi="宋体" w:cs="宋体"/>
          <w:color w:val="auto"/>
          <w:sz w:val="24"/>
          <w:szCs w:val="24"/>
          <w:lang w:bidi="ar"/>
        </w:rPr>
        <w:t>在团队</w:t>
      </w:r>
      <w:r>
        <w:rPr>
          <w:rFonts w:hint="eastAsia" w:ascii="宋体" w:hAnsi="宋体" w:cs="宋体"/>
          <w:color w:val="auto"/>
          <w:sz w:val="24"/>
          <w:szCs w:val="24"/>
          <w:lang w:bidi="ar"/>
        </w:rPr>
        <w:t>内</w:t>
      </w:r>
      <w:r>
        <w:rPr>
          <w:rFonts w:ascii="宋体" w:hAnsi="宋体" w:cs="宋体"/>
          <w:color w:val="auto"/>
          <w:sz w:val="24"/>
          <w:szCs w:val="24"/>
          <w:lang w:bidi="ar"/>
        </w:rPr>
        <w:t>部适当上下</w:t>
      </w:r>
      <w:r>
        <w:rPr>
          <w:rFonts w:hint="eastAsia" w:ascii="宋体" w:hAnsi="宋体" w:cs="宋体"/>
          <w:color w:val="auto"/>
          <w:sz w:val="24"/>
          <w:szCs w:val="24"/>
          <w:lang w:bidi="ar"/>
        </w:rPr>
        <w:t>浮动</w:t>
      </w:r>
      <w:r>
        <w:rPr>
          <w:rFonts w:ascii="宋体" w:hAnsi="宋体" w:cs="宋体"/>
          <w:color w:val="auto"/>
          <w:sz w:val="24"/>
          <w:szCs w:val="24"/>
          <w:lang w:bidi="ar"/>
        </w:rPr>
        <w:t>。由</w:t>
      </w:r>
      <w:r>
        <w:rPr>
          <w:rFonts w:hint="eastAsia" w:ascii="宋体" w:hAnsi="宋体" w:cs="宋体"/>
          <w:color w:val="auto"/>
          <w:sz w:val="24"/>
          <w:szCs w:val="24"/>
        </w:rPr>
        <w:t>指导老师在比赛获奖1个月内出具书面材料，明确团队成员间排名和分值分配比例</w:t>
      </w:r>
      <w:r>
        <w:rPr>
          <w:rFonts w:ascii="宋体" w:hAnsi="宋体" w:cs="宋体"/>
          <w:color w:val="auto"/>
          <w:sz w:val="24"/>
          <w:szCs w:val="24"/>
        </w:rPr>
        <w:t>，</w:t>
      </w:r>
      <w:r>
        <w:rPr>
          <w:rFonts w:ascii="宋体" w:hAnsi="宋体" w:cs="宋体"/>
          <w:color w:val="auto"/>
          <w:sz w:val="24"/>
          <w:szCs w:val="24"/>
          <w:lang w:bidi="ar"/>
        </w:rPr>
        <w:t>指导</w:t>
      </w:r>
      <w:r>
        <w:rPr>
          <w:rFonts w:hint="eastAsia" w:ascii="宋体" w:hAnsi="宋体" w:cs="宋体"/>
          <w:color w:val="auto"/>
          <w:sz w:val="24"/>
          <w:szCs w:val="24"/>
          <w:lang w:bidi="ar"/>
        </w:rPr>
        <w:t>老师</w:t>
      </w:r>
      <w:r>
        <w:rPr>
          <w:rFonts w:ascii="宋体" w:hAnsi="宋体" w:cs="宋体"/>
          <w:color w:val="auto"/>
          <w:sz w:val="24"/>
          <w:szCs w:val="24"/>
          <w:lang w:bidi="ar"/>
        </w:rPr>
        <w:t>级团队成员</w:t>
      </w:r>
      <w:r>
        <w:rPr>
          <w:rFonts w:hint="eastAsia" w:ascii="宋体" w:hAnsi="宋体" w:cs="宋体"/>
          <w:color w:val="auto"/>
          <w:sz w:val="24"/>
          <w:szCs w:val="24"/>
        </w:rPr>
        <w:t>签字后交学工办存档，认定后不做调整和修改。</w:t>
      </w:r>
    </w:p>
    <w:p>
      <w:pPr>
        <w:numPr>
          <w:ilvl w:val="255"/>
          <w:numId w:val="0"/>
        </w:numPr>
        <w:spacing w:line="500" w:lineRule="exact"/>
        <w:ind w:firstLine="480" w:firstLineChars="200"/>
        <w:rPr>
          <w:rFonts w:ascii="宋体" w:hAnsi="宋体"/>
          <w:b/>
          <w:bCs/>
          <w:color w:val="auto"/>
          <w:sz w:val="24"/>
          <w:szCs w:val="22"/>
        </w:rPr>
      </w:pPr>
      <w:r>
        <w:rPr>
          <w:rFonts w:hint="eastAsia" w:ascii="宋体" w:hAnsi="宋体"/>
          <w:color w:val="auto"/>
          <w:sz w:val="24"/>
          <w:szCs w:val="22"/>
        </w:rPr>
        <w:t>4.科研成果（论文、专利、项目）分值计算方法如下：</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439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b/>
                <w:color w:val="auto"/>
                <w:sz w:val="24"/>
              </w:rPr>
            </w:pPr>
            <w:r>
              <w:rPr>
                <w:rFonts w:hint="eastAsia" w:ascii="宋体" w:hAnsi="宋体"/>
                <w:b/>
                <w:color w:val="auto"/>
                <w:sz w:val="24"/>
              </w:rPr>
              <w:t>序号</w:t>
            </w:r>
          </w:p>
        </w:tc>
        <w:tc>
          <w:tcPr>
            <w:tcW w:w="1418"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b/>
                <w:color w:val="auto"/>
                <w:sz w:val="24"/>
              </w:rPr>
            </w:pPr>
            <w:r>
              <w:rPr>
                <w:rFonts w:hint="eastAsia" w:ascii="宋体" w:hAnsi="宋体"/>
                <w:b/>
                <w:color w:val="auto"/>
                <w:sz w:val="24"/>
              </w:rPr>
              <w:t>类别</w:t>
            </w:r>
          </w:p>
        </w:tc>
        <w:tc>
          <w:tcPr>
            <w:tcW w:w="4394"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b/>
                <w:color w:val="auto"/>
                <w:sz w:val="24"/>
              </w:rPr>
            </w:pPr>
            <w:r>
              <w:rPr>
                <w:rFonts w:hint="eastAsia" w:ascii="宋体" w:hAnsi="宋体"/>
                <w:b/>
                <w:color w:val="auto"/>
                <w:sz w:val="24"/>
              </w:rPr>
              <w:t>获奖名称和等级</w:t>
            </w:r>
          </w:p>
        </w:tc>
        <w:tc>
          <w:tcPr>
            <w:tcW w:w="1559"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b/>
                <w:color w:val="auto"/>
                <w:sz w:val="24"/>
              </w:rPr>
            </w:pPr>
            <w:r>
              <w:rPr>
                <w:rFonts w:hint="eastAsia" w:ascii="宋体" w:hAnsi="宋体"/>
                <w:b/>
                <w:color w:val="auto"/>
                <w:sz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论文</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SCI一区期刊、CCF推荐A类会议论文</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left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1418" w:type="dxa"/>
            <w:vMerge w:val="continue"/>
            <w:tcBorders>
              <w:left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SCI二区期刊</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left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1418" w:type="dxa"/>
            <w:vMerge w:val="continue"/>
            <w:tcBorders>
              <w:left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SCI三区期刊、CCF推荐B类会议论文</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left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1418" w:type="dxa"/>
            <w:vMerge w:val="continue"/>
            <w:tcBorders>
              <w:left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SCI四区期刊</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一级期刊、CCF推荐C类会议论文</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二级期刊、</w:t>
            </w:r>
            <w:r>
              <w:rPr>
                <w:rFonts w:ascii="宋体" w:hAnsi="宋体"/>
                <w:color w:val="auto"/>
                <w:sz w:val="24"/>
              </w:rPr>
              <w:t>EI（工程索引）</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专利</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发明专利</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外观专利、实用新型专利、软件著作权</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color w:val="auto"/>
                <w:sz w:val="24"/>
              </w:rPr>
            </w:pPr>
            <w:r>
              <w:rPr>
                <w:rFonts w:hint="eastAsia" w:ascii="宋体" w:hAnsi="宋体"/>
                <w:color w:val="auto"/>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r>
              <w:rPr>
                <w:rFonts w:hint="eastAsia" w:ascii="宋体" w:hAnsi="宋体"/>
                <w:sz w:val="24"/>
              </w:rPr>
              <w:t>3</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r>
              <w:rPr>
                <w:rFonts w:hint="eastAsia" w:ascii="宋体" w:hAnsi="宋体"/>
                <w:sz w:val="24"/>
              </w:rPr>
              <w:t>科研成果</w:t>
            </w:r>
          </w:p>
          <w:p>
            <w:pPr>
              <w:spacing w:line="500" w:lineRule="exact"/>
              <w:jc w:val="center"/>
              <w:rPr>
                <w:rFonts w:ascii="宋体" w:hAnsi="宋体"/>
                <w:sz w:val="24"/>
              </w:rPr>
            </w:pPr>
            <w:r>
              <w:rPr>
                <w:rFonts w:hint="eastAsia" w:ascii="宋体" w:hAnsi="宋体"/>
                <w:sz w:val="24"/>
              </w:rPr>
              <w:t>获奖</w:t>
            </w: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r>
              <w:rPr>
                <w:rFonts w:hint="eastAsia" w:ascii="宋体" w:hAnsi="宋体"/>
                <w:sz w:val="24"/>
              </w:rPr>
              <w:t>国家级</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r>
              <w:rPr>
                <w:rFonts w:hint="eastAsia" w:ascii="宋体" w:hAnsi="宋体"/>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r>
              <w:rPr>
                <w:rFonts w:hint="eastAsia" w:ascii="宋体" w:hAnsi="宋体"/>
                <w:sz w:val="24"/>
              </w:rPr>
              <w:t>省级</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r>
              <w:rPr>
                <w:rFonts w:hint="eastAsia" w:ascii="宋体" w:hAnsi="宋体"/>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p>
        </w:tc>
        <w:tc>
          <w:tcPr>
            <w:tcW w:w="4394"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r>
              <w:rPr>
                <w:rFonts w:hint="eastAsia" w:ascii="宋体" w:hAnsi="宋体"/>
                <w:sz w:val="24"/>
              </w:rPr>
              <w:t>市级</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r>
              <w:rPr>
                <w:rFonts w:hint="eastAsia" w:ascii="宋体" w:hAnsi="宋体"/>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center"/>
              <w:rPr>
                <w:rFonts w:ascii="宋体" w:hAnsi="宋体"/>
                <w:sz w:val="24"/>
              </w:rPr>
            </w:pPr>
            <w:r>
              <w:rPr>
                <w:rFonts w:hint="eastAsia" w:ascii="宋体" w:hAnsi="宋体"/>
                <w:sz w:val="24"/>
              </w:rPr>
              <w:t>备注</w:t>
            </w:r>
          </w:p>
        </w:tc>
        <w:tc>
          <w:tcPr>
            <w:tcW w:w="7371"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500" w:lineRule="exact"/>
              <w:jc w:val="left"/>
              <w:rPr>
                <w:rFonts w:ascii="宋体" w:hAnsi="宋体"/>
                <w:sz w:val="24"/>
              </w:rPr>
            </w:pPr>
            <w:r>
              <w:rPr>
                <w:rFonts w:hint="eastAsia" w:ascii="宋体" w:hAnsi="宋体"/>
                <w:sz w:val="24"/>
              </w:rPr>
              <w:t>刊物级别依据校科研院相关要求评定。</w:t>
            </w:r>
          </w:p>
        </w:tc>
      </w:tr>
    </w:tbl>
    <w:p>
      <w:pPr>
        <w:spacing w:line="500" w:lineRule="exact"/>
        <w:rPr>
          <w:rFonts w:ascii="宋体" w:hAnsi="宋体"/>
          <w:sz w:val="24"/>
          <w:szCs w:val="22"/>
        </w:rPr>
      </w:pPr>
    </w:p>
    <w:p>
      <w:pPr>
        <w:numPr>
          <w:ilvl w:val="255"/>
          <w:numId w:val="0"/>
        </w:numPr>
        <w:tabs>
          <w:tab w:val="center" w:pos="4320"/>
        </w:tabs>
        <w:spacing w:line="500" w:lineRule="exact"/>
        <w:ind w:firstLine="480" w:firstLineChars="200"/>
        <w:rPr>
          <w:rFonts w:ascii="宋体" w:hAnsi="宋体"/>
          <w:sz w:val="24"/>
          <w:szCs w:val="22"/>
        </w:rPr>
      </w:pPr>
      <w:r>
        <w:rPr>
          <w:rFonts w:hint="eastAsia" w:ascii="宋体" w:hAnsi="宋体"/>
          <w:sz w:val="24"/>
          <w:szCs w:val="22"/>
        </w:rPr>
        <w:t>5.科研课题立项分值计算方法如下（国创、新苗、本创等）：</w:t>
      </w:r>
      <w:r>
        <w:rPr>
          <w:rFonts w:hint="eastAsia" w:ascii="宋体" w:hAnsi="宋体"/>
          <w:sz w:val="24"/>
          <w:szCs w:val="22"/>
        </w:rPr>
        <w:tab/>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b/>
                <w:sz w:val="24"/>
              </w:rPr>
            </w:pPr>
            <w:r>
              <w:rPr>
                <w:rFonts w:hint="eastAsia" w:ascii="宋体" w:hAnsi="宋体"/>
                <w:b/>
                <w:sz w:val="24"/>
              </w:rPr>
              <w:t>序号</w:t>
            </w:r>
          </w:p>
        </w:tc>
        <w:tc>
          <w:tcPr>
            <w:tcW w:w="3685"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b/>
                <w:sz w:val="24"/>
              </w:rPr>
            </w:pPr>
            <w:r>
              <w:rPr>
                <w:rFonts w:hint="eastAsia" w:ascii="宋体" w:hAnsi="宋体"/>
                <w:b/>
                <w:sz w:val="24"/>
              </w:rPr>
              <w:t>项目级别</w:t>
            </w:r>
          </w:p>
        </w:tc>
        <w:tc>
          <w:tcPr>
            <w:tcW w:w="1559"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b/>
                <w:sz w:val="24"/>
              </w:rPr>
            </w:pPr>
            <w:r>
              <w:rPr>
                <w:rFonts w:hint="eastAsia" w:ascii="宋体" w:hAnsi="宋体"/>
                <w:b/>
                <w:sz w:val="24"/>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1</w:t>
            </w:r>
          </w:p>
        </w:tc>
        <w:tc>
          <w:tcPr>
            <w:tcW w:w="3685"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国家级</w:t>
            </w:r>
          </w:p>
        </w:tc>
        <w:tc>
          <w:tcPr>
            <w:tcW w:w="1559"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2</w:t>
            </w:r>
          </w:p>
        </w:tc>
        <w:tc>
          <w:tcPr>
            <w:tcW w:w="3685"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省部级</w:t>
            </w:r>
          </w:p>
        </w:tc>
        <w:tc>
          <w:tcPr>
            <w:tcW w:w="1559"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3</w:t>
            </w:r>
          </w:p>
        </w:tc>
        <w:tc>
          <w:tcPr>
            <w:tcW w:w="3685"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市级</w:t>
            </w:r>
          </w:p>
        </w:tc>
        <w:tc>
          <w:tcPr>
            <w:tcW w:w="1559"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4</w:t>
            </w:r>
          </w:p>
        </w:tc>
        <w:tc>
          <w:tcPr>
            <w:tcW w:w="3685"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校级</w:t>
            </w:r>
          </w:p>
        </w:tc>
        <w:tc>
          <w:tcPr>
            <w:tcW w:w="1559" w:type="dxa"/>
            <w:tcBorders>
              <w:top w:val="single" w:color="auto" w:sz="4" w:space="0"/>
              <w:left w:val="single" w:color="auto" w:sz="4" w:space="0"/>
              <w:bottom w:val="single" w:color="auto" w:sz="4" w:space="0"/>
              <w:right w:val="single" w:color="auto" w:sz="4" w:space="0"/>
              <w:tl2br w:val="nil"/>
              <w:tr2bl w:val="nil"/>
            </w:tcBorders>
          </w:tcPr>
          <w:p>
            <w:pPr>
              <w:spacing w:line="500" w:lineRule="exact"/>
              <w:jc w:val="center"/>
              <w:rPr>
                <w:rFonts w:ascii="宋体" w:hAnsi="宋体"/>
                <w:sz w:val="24"/>
              </w:rPr>
            </w:pPr>
            <w:r>
              <w:rPr>
                <w:rFonts w:hint="eastAsia" w:ascii="宋体" w:hAnsi="宋体"/>
                <w:sz w:val="24"/>
              </w:rPr>
              <w:t>5</w:t>
            </w:r>
          </w:p>
        </w:tc>
      </w:tr>
    </w:tbl>
    <w:p>
      <w:pPr>
        <w:autoSpaceDE w:val="0"/>
        <w:autoSpaceDN w:val="0"/>
        <w:adjustRightInd w:val="0"/>
        <w:snapToGrid w:val="0"/>
        <w:spacing w:line="500" w:lineRule="exact"/>
        <w:jc w:val="left"/>
        <w:rPr>
          <w:rStyle w:val="9"/>
          <w:rFonts w:hint="default" w:ascii="Times New Roman" w:hAnsi="Times New Roman" w:eastAsia="宋体"/>
          <w:b/>
          <w:sz w:val="28"/>
        </w:rPr>
      </w:pPr>
    </w:p>
    <w:p>
      <w:pPr>
        <w:autoSpaceDE w:val="0"/>
        <w:autoSpaceDN w:val="0"/>
        <w:adjustRightInd w:val="0"/>
        <w:snapToGrid w:val="0"/>
        <w:spacing w:line="500" w:lineRule="exact"/>
        <w:jc w:val="left"/>
        <w:rPr>
          <w:rStyle w:val="9"/>
          <w:rFonts w:hint="default" w:ascii="Times New Roman" w:hAnsi="Times New Roman" w:eastAsia="宋体"/>
          <w:b/>
          <w:sz w:val="28"/>
        </w:rPr>
      </w:pPr>
      <w:r>
        <w:rPr>
          <w:rStyle w:val="9"/>
          <w:rFonts w:hint="default" w:ascii="Times New Roman" w:hAnsi="Times New Roman" w:eastAsia="宋体"/>
          <w:b/>
          <w:sz w:val="28"/>
        </w:rPr>
        <w:t>注：</w:t>
      </w:r>
    </w:p>
    <w:p>
      <w:pPr>
        <w:numPr>
          <w:ilvl w:val="255"/>
          <w:numId w:val="0"/>
        </w:numPr>
        <w:spacing w:line="5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1.以上所有的科研成果必须以杭州师范大学为第一单位。</w:t>
      </w:r>
    </w:p>
    <w:p>
      <w:pPr>
        <w:numPr>
          <w:ilvl w:val="255"/>
          <w:numId w:val="0"/>
        </w:numPr>
        <w:spacing w:line="5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2.由申请学生提交相关佐证材料，其中专利和软著还需另外附带学校盖章的登记申请相关原始表格材料等。</w:t>
      </w:r>
    </w:p>
    <w:p>
      <w:pPr>
        <w:autoSpaceDE w:val="0"/>
        <w:autoSpaceDN w:val="0"/>
        <w:adjustRightInd w:val="0"/>
        <w:snapToGrid w:val="0"/>
        <w:spacing w:line="500" w:lineRule="exact"/>
        <w:ind w:firstLine="480" w:firstLineChars="20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项目只考虑第一主持人。</w:t>
      </w:r>
      <w:r>
        <w:rPr>
          <w:rFonts w:hint="eastAsia" w:asciiTheme="minorEastAsia" w:hAnsiTheme="minorEastAsia" w:eastAsiaTheme="minorEastAsia" w:cstheme="minorEastAsia"/>
          <w:color w:val="auto"/>
          <w:sz w:val="24"/>
          <w:szCs w:val="24"/>
        </w:rPr>
        <w:t>专利</w:t>
      </w:r>
      <w:r>
        <w:rPr>
          <w:rFonts w:hint="eastAsia" w:asciiTheme="minorEastAsia" w:hAnsiTheme="minorEastAsia" w:eastAsiaTheme="minorEastAsia" w:cstheme="minorEastAsia"/>
          <w:color w:val="auto"/>
          <w:sz w:val="24"/>
          <w:szCs w:val="24"/>
          <w:lang w:eastAsia="zh-CN"/>
        </w:rPr>
        <w:t>、软著</w:t>
      </w:r>
      <w:r>
        <w:rPr>
          <w:rFonts w:hint="eastAsia" w:asciiTheme="minorEastAsia" w:hAnsiTheme="minorEastAsia" w:eastAsiaTheme="minorEastAsia" w:cstheme="minorEastAsia"/>
          <w:color w:val="auto"/>
          <w:sz w:val="24"/>
          <w:szCs w:val="24"/>
        </w:rPr>
        <w:t>若我院教师排名第一，学生排名第二，也视学生为第一发明人加分。</w:t>
      </w:r>
      <w:r>
        <w:rPr>
          <w:rFonts w:hint="eastAsia" w:asciiTheme="minorEastAsia" w:hAnsiTheme="minorEastAsia" w:eastAsiaTheme="minorEastAsia" w:cstheme="minorEastAsia"/>
          <w:color w:val="auto"/>
          <w:sz w:val="24"/>
          <w:szCs w:val="24"/>
          <w:lang w:val="en-US" w:eastAsia="zh-CN"/>
        </w:rPr>
        <w:t>学术论文若我院教师为指导老师，且有多位作者的，参照学科竞赛，由指导老师提供书面材料在全体论文作者中确定分配比例。</w:t>
      </w:r>
      <w:r>
        <w:rPr>
          <w:rFonts w:hint="eastAsia" w:asciiTheme="minorEastAsia" w:hAnsiTheme="minorEastAsia" w:eastAsiaTheme="minorEastAsia" w:cstheme="minorEastAsia"/>
          <w:color w:val="auto"/>
          <w:sz w:val="24"/>
          <w:szCs w:val="24"/>
        </w:rPr>
        <w:t>且按照论文发表的作者排序，后位作者所占比例不得高于前位作者。</w:t>
      </w:r>
    </w:p>
    <w:p>
      <w:pPr>
        <w:numPr>
          <w:ilvl w:val="255"/>
          <w:numId w:val="0"/>
        </w:numPr>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4.专利、软著等需已获得授权。</w:t>
      </w:r>
      <w:r>
        <w:rPr>
          <w:rFonts w:hint="eastAsia" w:asciiTheme="minorEastAsia" w:hAnsiTheme="minorEastAsia" w:eastAsiaTheme="minorEastAsia" w:cstheme="minorEastAsia"/>
          <w:color w:val="auto"/>
          <w:sz w:val="24"/>
          <w:szCs w:val="24"/>
        </w:rPr>
        <w:t>论文须已公开发表或收到录用通知。</w:t>
      </w:r>
    </w:p>
    <w:p>
      <w:pPr>
        <w:numPr>
          <w:ilvl w:val="255"/>
          <w:numId w:val="0"/>
        </w:numPr>
        <w:spacing w:line="500" w:lineRule="exact"/>
        <w:ind w:firstLine="480" w:firstLineChars="200"/>
        <w:jc w:val="left"/>
        <w:rPr>
          <w:rFonts w:ascii="宋体" w:hAnsi="宋体" w:cs="宋体"/>
          <w:sz w:val="24"/>
          <w:szCs w:val="24"/>
        </w:rPr>
      </w:pPr>
      <w:r>
        <w:rPr>
          <w:rFonts w:hint="eastAsia" w:ascii="宋体" w:hAnsi="宋体" w:cs="宋体"/>
          <w:sz w:val="24"/>
          <w:szCs w:val="24"/>
        </w:rPr>
        <w:t>5.以上论文期刊以中科院SCI论文分区（大类）和学校最新发布的国内期刊定级标准为依据。</w:t>
      </w:r>
    </w:p>
    <w:p>
      <w:pPr>
        <w:numPr>
          <w:ilvl w:val="255"/>
          <w:numId w:val="0"/>
        </w:numPr>
        <w:spacing w:line="500" w:lineRule="exact"/>
        <w:ind w:firstLine="480" w:firstLineChars="200"/>
        <w:jc w:val="left"/>
        <w:rPr>
          <w:rFonts w:ascii="宋体" w:hAnsi="宋体" w:cs="宋体"/>
          <w:sz w:val="24"/>
          <w:szCs w:val="24"/>
        </w:rPr>
      </w:pPr>
      <w:r>
        <w:rPr>
          <w:rFonts w:hint="eastAsia" w:ascii="宋体" w:hAnsi="宋体" w:cs="宋体"/>
          <w:sz w:val="24"/>
          <w:szCs w:val="24"/>
        </w:rPr>
        <w:t>6.科研课题立项需按时结题，才能获得相应加分。中途放弃或申请延期结题的，不予加分。</w:t>
      </w:r>
    </w:p>
    <w:p>
      <w:pPr>
        <w:autoSpaceDE w:val="0"/>
        <w:autoSpaceDN w:val="0"/>
        <w:adjustRightInd w:val="0"/>
        <w:snapToGrid w:val="0"/>
        <w:spacing w:line="360" w:lineRule="auto"/>
        <w:jc w:val="left"/>
        <w:rPr>
          <w:rStyle w:val="9"/>
          <w:rFonts w:hint="default" w:ascii="Times New Roman" w:hAnsi="Times New Roman" w:eastAsia="宋体"/>
          <w:b/>
          <w:sz w:val="28"/>
        </w:rPr>
      </w:pPr>
    </w:p>
    <w:p>
      <w:pPr>
        <w:pStyle w:val="8"/>
        <w:autoSpaceDE w:val="0"/>
        <w:autoSpaceDN w:val="0"/>
        <w:adjustRightInd w:val="0"/>
        <w:snapToGrid w:val="0"/>
        <w:spacing w:line="360" w:lineRule="auto"/>
        <w:ind w:firstLine="0" w:firstLineChars="0"/>
        <w:jc w:val="right"/>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信息科学与技术学院</w:t>
      </w:r>
    </w:p>
    <w:p>
      <w:pPr>
        <w:pStyle w:val="8"/>
        <w:autoSpaceDE w:val="0"/>
        <w:autoSpaceDN w:val="0"/>
        <w:adjustRightInd w:val="0"/>
        <w:snapToGrid w:val="0"/>
        <w:spacing w:line="360" w:lineRule="auto"/>
        <w:ind w:firstLine="0" w:firstLineChars="0"/>
        <w:jc w:val="right"/>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 xml:space="preserve">                                      二〇二</w:t>
      </w:r>
      <w:r>
        <w:rPr>
          <w:rFonts w:hint="eastAsia" w:ascii="宋体" w:hAnsi="宋体" w:cs="宋体"/>
          <w:kern w:val="2"/>
          <w:sz w:val="24"/>
          <w:szCs w:val="24"/>
          <w:lang w:val="en-US" w:eastAsia="zh-CN" w:bidi="ar-SA"/>
        </w:rPr>
        <w:t>二</w:t>
      </w:r>
      <w:r>
        <w:rPr>
          <w:rFonts w:hint="default"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七</w:t>
      </w:r>
      <w:r>
        <w:rPr>
          <w:rFonts w:hint="default" w:ascii="宋体" w:hAnsi="宋体" w:eastAsia="宋体" w:cs="宋体"/>
          <w:kern w:val="2"/>
          <w:sz w:val="24"/>
          <w:szCs w:val="24"/>
          <w:lang w:val="en-US" w:eastAsia="zh-CN" w:bidi="ar-SA"/>
        </w:rPr>
        <w:t>月六日</w:t>
      </w:r>
    </w:p>
    <w:sectPr>
      <w:headerReference r:id="rId3" w:type="default"/>
      <w:pgSz w:w="12240" w:h="15840"/>
      <w:pgMar w:top="1880" w:right="1800" w:bottom="1817"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E2F625FB-23EB-401F-9B32-D6F2FED95786}"/>
  </w:font>
  <w:font w:name="方正小标宋_GBK">
    <w:panose1 w:val="02000000000000000000"/>
    <w:charset w:val="86"/>
    <w:family w:val="auto"/>
    <w:pitch w:val="default"/>
    <w:sig w:usb0="A00002BF" w:usb1="38CF7CFA" w:usb2="00082016" w:usb3="00000000" w:csb0="00040001" w:csb1="00000000"/>
    <w:embedRegular r:id="rId2" w:fontKey="{14543F31-941E-4A5D-BDDF-DAE231C690E7}"/>
  </w:font>
  <w:font w:name="方正仿宋_GB2312">
    <w:panose1 w:val="02000000000000000000"/>
    <w:charset w:val="86"/>
    <w:family w:val="auto"/>
    <w:pitch w:val="default"/>
    <w:sig w:usb0="A00002BF" w:usb1="184F6CFA" w:usb2="00000012" w:usb3="00000000" w:csb0="00040001" w:csb1="00000000"/>
    <w:embedRegular r:id="rId3" w:fontKey="{07CAE640-BCD7-405B-942C-CDFC3D8DDBFE}"/>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napToGrid w:val="0"/>
      <w:spacing w:line="360"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919C6"/>
    <w:multiLevelType w:val="singleLevel"/>
    <w:tmpl w:val="5CD919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mM2Y1N2ZkM2QzMjBiMWUyMDA3MGJmMDI5NTE4N2UifQ=="/>
  </w:docVars>
  <w:rsids>
    <w:rsidRoot w:val="00172A27"/>
    <w:rsid w:val="0008246E"/>
    <w:rsid w:val="00172A27"/>
    <w:rsid w:val="00293A6E"/>
    <w:rsid w:val="002B27F8"/>
    <w:rsid w:val="002E1467"/>
    <w:rsid w:val="00383348"/>
    <w:rsid w:val="00401017"/>
    <w:rsid w:val="00410E96"/>
    <w:rsid w:val="00624699"/>
    <w:rsid w:val="00625A3B"/>
    <w:rsid w:val="0064029A"/>
    <w:rsid w:val="006A2F44"/>
    <w:rsid w:val="006C1DAA"/>
    <w:rsid w:val="006D2773"/>
    <w:rsid w:val="0071144E"/>
    <w:rsid w:val="0077264F"/>
    <w:rsid w:val="008163D1"/>
    <w:rsid w:val="00891DB6"/>
    <w:rsid w:val="00994026"/>
    <w:rsid w:val="009E51DD"/>
    <w:rsid w:val="00C03750"/>
    <w:rsid w:val="00C400D8"/>
    <w:rsid w:val="00D93F62"/>
    <w:rsid w:val="00EB02C1"/>
    <w:rsid w:val="00F85783"/>
    <w:rsid w:val="037C07BA"/>
    <w:rsid w:val="04BC4BA5"/>
    <w:rsid w:val="088309C7"/>
    <w:rsid w:val="0D977CD6"/>
    <w:rsid w:val="0FA743A1"/>
    <w:rsid w:val="11C27174"/>
    <w:rsid w:val="15D54DFF"/>
    <w:rsid w:val="1675540D"/>
    <w:rsid w:val="1A714BBA"/>
    <w:rsid w:val="1AE0FE48"/>
    <w:rsid w:val="1BB30901"/>
    <w:rsid w:val="1CA63798"/>
    <w:rsid w:val="1E04558A"/>
    <w:rsid w:val="21A613E6"/>
    <w:rsid w:val="22012DFC"/>
    <w:rsid w:val="22F752A8"/>
    <w:rsid w:val="230F4902"/>
    <w:rsid w:val="23CB2E57"/>
    <w:rsid w:val="267370BD"/>
    <w:rsid w:val="2A5F576E"/>
    <w:rsid w:val="2BC91498"/>
    <w:rsid w:val="2CBB2581"/>
    <w:rsid w:val="34010971"/>
    <w:rsid w:val="34701DE8"/>
    <w:rsid w:val="37BAEF71"/>
    <w:rsid w:val="380E6CB8"/>
    <w:rsid w:val="3AA15FAD"/>
    <w:rsid w:val="3B833F95"/>
    <w:rsid w:val="3D5B7E0C"/>
    <w:rsid w:val="3D937E72"/>
    <w:rsid w:val="4190627E"/>
    <w:rsid w:val="41984EB4"/>
    <w:rsid w:val="46440683"/>
    <w:rsid w:val="48AB2A72"/>
    <w:rsid w:val="48ED48B9"/>
    <w:rsid w:val="4A083C25"/>
    <w:rsid w:val="4A150E4E"/>
    <w:rsid w:val="4B313BE2"/>
    <w:rsid w:val="4B5B54DA"/>
    <w:rsid w:val="4D503A24"/>
    <w:rsid w:val="4D7E768E"/>
    <w:rsid w:val="4F25057B"/>
    <w:rsid w:val="50C22347"/>
    <w:rsid w:val="528D3559"/>
    <w:rsid w:val="52C7292D"/>
    <w:rsid w:val="52C804F0"/>
    <w:rsid w:val="540A1FFE"/>
    <w:rsid w:val="549A0936"/>
    <w:rsid w:val="56F103D1"/>
    <w:rsid w:val="5C2E4E21"/>
    <w:rsid w:val="5D576439"/>
    <w:rsid w:val="605A62D0"/>
    <w:rsid w:val="607C25F9"/>
    <w:rsid w:val="61095680"/>
    <w:rsid w:val="61FC6465"/>
    <w:rsid w:val="637640F0"/>
    <w:rsid w:val="6D535020"/>
    <w:rsid w:val="71EE6115"/>
    <w:rsid w:val="72403A14"/>
    <w:rsid w:val="74AC1FE9"/>
    <w:rsid w:val="75E254A3"/>
    <w:rsid w:val="76EF1631"/>
    <w:rsid w:val="79A4489E"/>
    <w:rsid w:val="7F4B02C6"/>
    <w:rsid w:val="ECCF32D0"/>
    <w:rsid w:val="EF7ADF15"/>
    <w:rsid w:val="FCDFDF9C"/>
    <w:rsid w:val="FFEF0C6E"/>
    <w:rsid w:val="FFF7AA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Calibri" w:hAnsi="Calibri" w:eastAsia="宋体" w:cstheme="minorBidi"/>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列出段落1"/>
    <w:basedOn w:val="1"/>
    <w:unhideWhenUsed/>
    <w:qFormat/>
    <w:uiPriority w:val="99"/>
    <w:pPr>
      <w:ind w:firstLine="420" w:firstLineChars="200"/>
    </w:pPr>
  </w:style>
  <w:style w:type="paragraph" w:customStyle="1" w:styleId="8">
    <w:name w:val="列出段落2"/>
    <w:basedOn w:val="1"/>
    <w:unhideWhenUsed/>
    <w:qFormat/>
    <w:uiPriority w:val="34"/>
    <w:pPr>
      <w:ind w:firstLine="420" w:firstLineChars="200"/>
    </w:pPr>
  </w:style>
  <w:style w:type="character" w:customStyle="1" w:styleId="9">
    <w:name w:val="fontstyle01"/>
    <w:basedOn w:val="6"/>
    <w:unhideWhenUsed/>
    <w:qFormat/>
    <w:uiPriority w:val="0"/>
    <w:rPr>
      <w:rFonts w:hint="eastAsia" w:ascii="仿宋" w:hAnsi="仿宋" w:eastAsia="仿宋"/>
      <w:color w:val="00000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5</Pages>
  <Words>1803</Words>
  <Characters>1962</Characters>
  <Lines>14</Lines>
  <Paragraphs>4</Paragraphs>
  <TotalTime>10</TotalTime>
  <ScaleCrop>false</ScaleCrop>
  <LinksUpToDate>false</LinksUpToDate>
  <CharactersWithSpaces>2002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2018-06-16T17:35:00Z</dcterms:created>
  <dc:creator>May</dc:creator>
  <cp:lastModifiedBy>转瞬</cp:lastModifiedBy>
  <cp:lastPrinted>2021-09-03T08:43:00Z</cp:lastPrinted>
  <dcterms:modified xsi:type="dcterms:W3CDTF">2022-08-29T02:31:54Z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C63B7CA4341542E0A3D0A15FAF098EF8</vt:lpwstr>
  </property>
</Properties>
</file>